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BA7D8" w14:textId="77777777" w:rsidR="007943B2" w:rsidRPr="003259F0" w:rsidRDefault="007943B2" w:rsidP="007943B2">
      <w:pPr>
        <w:rPr>
          <w:rFonts w:ascii="Calibri" w:hAnsi="Calibri" w:cs="Calibri"/>
        </w:rPr>
      </w:pPr>
      <w:r w:rsidRPr="003259F0">
        <w:rPr>
          <w:rFonts w:ascii="Calibri" w:hAnsi="Calibri" w:cs="Calibri"/>
        </w:rPr>
        <w:t>Insurance Company</w:t>
      </w:r>
    </w:p>
    <w:p w14:paraId="5263040D" w14:textId="77777777" w:rsidR="007943B2" w:rsidRPr="003259F0" w:rsidRDefault="007943B2" w:rsidP="007943B2">
      <w:pPr>
        <w:rPr>
          <w:rFonts w:ascii="Calibri" w:hAnsi="Calibri" w:cs="Calibri"/>
        </w:rPr>
      </w:pPr>
    </w:p>
    <w:p w14:paraId="3B9F46DB" w14:textId="199ACF48" w:rsidR="007943B2" w:rsidRPr="003259F0" w:rsidRDefault="007943B2" w:rsidP="007943B2">
      <w:pPr>
        <w:pStyle w:val="Heading1"/>
        <w:rPr>
          <w:rFonts w:ascii="Calibri" w:hAnsi="Calibri" w:cs="Calibri"/>
          <w:sz w:val="22"/>
          <w:szCs w:val="22"/>
        </w:rPr>
      </w:pPr>
      <w:r w:rsidRPr="003259F0">
        <w:rPr>
          <w:rFonts w:ascii="Calibri" w:hAnsi="Calibri" w:cs="Calibri"/>
          <w:sz w:val="22"/>
          <w:szCs w:val="22"/>
        </w:rPr>
        <w:t>RE:  PATIENT</w:t>
      </w:r>
      <w:r>
        <w:rPr>
          <w:rFonts w:ascii="Calibri" w:hAnsi="Calibri" w:cs="Calibri"/>
          <w:sz w:val="22"/>
          <w:szCs w:val="22"/>
        </w:rPr>
        <w:t>/Vedolizumab infusions</w:t>
      </w:r>
    </w:p>
    <w:p w14:paraId="686E1B1E" w14:textId="77777777" w:rsidR="007943B2" w:rsidRPr="003259F0" w:rsidRDefault="007943B2" w:rsidP="007943B2">
      <w:pPr>
        <w:rPr>
          <w:rFonts w:ascii="Calibri" w:hAnsi="Calibri" w:cs="Calibri"/>
          <w:b/>
          <w:bCs/>
        </w:rPr>
      </w:pPr>
      <w:r w:rsidRPr="003259F0">
        <w:rPr>
          <w:rFonts w:ascii="Calibri" w:hAnsi="Calibri" w:cs="Calibri"/>
          <w:b/>
          <w:bCs/>
        </w:rPr>
        <w:t xml:space="preserve">DOB: </w:t>
      </w:r>
    </w:p>
    <w:p w14:paraId="63134CC0" w14:textId="77777777" w:rsidR="007943B2" w:rsidRPr="003259F0" w:rsidRDefault="007943B2" w:rsidP="007943B2">
      <w:pPr>
        <w:rPr>
          <w:rFonts w:ascii="Calibri" w:hAnsi="Calibri" w:cs="Calibri"/>
          <w:b/>
          <w:bCs/>
        </w:rPr>
      </w:pPr>
      <w:r w:rsidRPr="003259F0">
        <w:rPr>
          <w:rFonts w:ascii="Calibri" w:hAnsi="Calibri" w:cs="Calibri"/>
          <w:b/>
          <w:bCs/>
        </w:rPr>
        <w:t>ID #</w:t>
      </w:r>
    </w:p>
    <w:p w14:paraId="76744F71" w14:textId="77777777" w:rsidR="007943B2" w:rsidRPr="003259F0" w:rsidRDefault="007943B2" w:rsidP="007943B2">
      <w:pPr>
        <w:rPr>
          <w:rFonts w:ascii="Calibri" w:hAnsi="Calibri" w:cs="Calibri"/>
        </w:rPr>
      </w:pPr>
      <w:r w:rsidRPr="003259F0">
        <w:rPr>
          <w:rFonts w:ascii="Calibri" w:hAnsi="Calibri" w:cs="Calibri"/>
          <w:b/>
          <w:bCs/>
        </w:rPr>
        <w:t>Pat Acct #</w:t>
      </w:r>
    </w:p>
    <w:p w14:paraId="67189F41" w14:textId="77777777" w:rsidR="007943B2" w:rsidRPr="003259F0" w:rsidRDefault="007943B2" w:rsidP="007943B2">
      <w:pPr>
        <w:rPr>
          <w:rFonts w:ascii="Calibri" w:hAnsi="Calibri" w:cs="Calibri"/>
        </w:rPr>
      </w:pPr>
    </w:p>
    <w:p w14:paraId="36A26E89" w14:textId="77777777" w:rsidR="007943B2" w:rsidRPr="003259F0" w:rsidRDefault="007943B2" w:rsidP="007943B2">
      <w:pPr>
        <w:rPr>
          <w:rFonts w:ascii="Calibri" w:hAnsi="Calibri" w:cs="Calibri"/>
        </w:rPr>
      </w:pPr>
      <w:r w:rsidRPr="003259F0">
        <w:rPr>
          <w:rFonts w:ascii="Calibri" w:hAnsi="Calibri" w:cs="Calibri"/>
        </w:rPr>
        <w:t>DATE</w:t>
      </w:r>
    </w:p>
    <w:p w14:paraId="10774328" w14:textId="77777777" w:rsidR="007943B2" w:rsidRPr="003259F0" w:rsidRDefault="007943B2" w:rsidP="007943B2">
      <w:pPr>
        <w:rPr>
          <w:rFonts w:ascii="Calibri" w:hAnsi="Calibri" w:cs="Calibri"/>
        </w:rPr>
      </w:pPr>
    </w:p>
    <w:p w14:paraId="719DA1FA" w14:textId="1654F532" w:rsidR="008D4AF7" w:rsidRDefault="007943B2">
      <w:pPr>
        <w:rPr>
          <w:sz w:val="24"/>
          <w:szCs w:val="24"/>
        </w:rPr>
      </w:pPr>
      <w:r>
        <w:rPr>
          <w:sz w:val="24"/>
          <w:szCs w:val="24"/>
        </w:rPr>
        <w:t>Dear Sir/Madam:</w:t>
      </w:r>
    </w:p>
    <w:p w14:paraId="475BE87C" w14:textId="77777777" w:rsidR="008D4AF7" w:rsidRDefault="008D4AF7">
      <w:pPr>
        <w:rPr>
          <w:sz w:val="24"/>
          <w:szCs w:val="24"/>
        </w:rPr>
      </w:pPr>
    </w:p>
    <w:p w14:paraId="2BF2AFD8" w14:textId="155FA716" w:rsidR="00C47D08" w:rsidRDefault="008D4AF7">
      <w:pPr>
        <w:rPr>
          <w:sz w:val="24"/>
          <w:szCs w:val="24"/>
        </w:rPr>
      </w:pPr>
      <w:r>
        <w:rPr>
          <w:sz w:val="24"/>
          <w:szCs w:val="24"/>
        </w:rPr>
        <w:t xml:space="preserve">I write to </w:t>
      </w:r>
      <w:r w:rsidR="007A3537">
        <w:rPr>
          <w:sz w:val="24"/>
          <w:szCs w:val="24"/>
        </w:rPr>
        <w:t xml:space="preserve">you </w:t>
      </w:r>
      <w:r w:rsidR="00C47D08">
        <w:rPr>
          <w:sz w:val="24"/>
          <w:szCs w:val="24"/>
        </w:rPr>
        <w:t xml:space="preserve">on behalf of </w:t>
      </w:r>
      <w:r w:rsidR="00C47D08" w:rsidRPr="00F718F8">
        <w:rPr>
          <w:color w:val="FF0000"/>
          <w:sz w:val="24"/>
          <w:szCs w:val="24"/>
        </w:rPr>
        <w:t>&lt;Mr./Ms. Doe&gt;</w:t>
      </w:r>
      <w:r w:rsidR="00C47D08">
        <w:rPr>
          <w:sz w:val="24"/>
          <w:szCs w:val="24"/>
        </w:rPr>
        <w:t xml:space="preserve"> to request prior authorization</w:t>
      </w:r>
      <w:r w:rsidR="00F847C6">
        <w:rPr>
          <w:sz w:val="24"/>
          <w:szCs w:val="24"/>
        </w:rPr>
        <w:t>/</w:t>
      </w:r>
      <w:r w:rsidR="00C26307">
        <w:rPr>
          <w:sz w:val="24"/>
          <w:szCs w:val="24"/>
        </w:rPr>
        <w:t xml:space="preserve">approval </w:t>
      </w:r>
      <w:r w:rsidR="00C47D08">
        <w:rPr>
          <w:sz w:val="24"/>
          <w:szCs w:val="24"/>
        </w:rPr>
        <w:t xml:space="preserve">for vedolizumab </w:t>
      </w:r>
      <w:r w:rsidR="00890669">
        <w:rPr>
          <w:sz w:val="24"/>
          <w:szCs w:val="24"/>
        </w:rPr>
        <w:t xml:space="preserve">for the treatment of </w:t>
      </w:r>
      <w:r w:rsidR="00065298">
        <w:rPr>
          <w:sz w:val="24"/>
          <w:szCs w:val="24"/>
        </w:rPr>
        <w:t xml:space="preserve">their </w:t>
      </w:r>
      <w:r w:rsidR="00065298" w:rsidRPr="00E125F1">
        <w:rPr>
          <w:color w:val="FF0000"/>
          <w:sz w:val="24"/>
          <w:szCs w:val="24"/>
        </w:rPr>
        <w:t>&lt;moderately/severely&gt;</w:t>
      </w:r>
      <w:r w:rsidR="00065298">
        <w:rPr>
          <w:sz w:val="24"/>
          <w:szCs w:val="24"/>
        </w:rPr>
        <w:t xml:space="preserve"> active </w:t>
      </w:r>
      <w:r w:rsidR="00890669" w:rsidRPr="00F718F8">
        <w:rPr>
          <w:color w:val="FF0000"/>
          <w:sz w:val="24"/>
          <w:szCs w:val="24"/>
        </w:rPr>
        <w:t>&lt;Crohn's disease/ulcerative colitis&gt;</w:t>
      </w:r>
      <w:r w:rsidR="00C47D08" w:rsidRPr="00F718F8">
        <w:rPr>
          <w:color w:val="FF0000"/>
          <w:sz w:val="24"/>
          <w:szCs w:val="24"/>
        </w:rPr>
        <w:t>.</w:t>
      </w:r>
      <w:r w:rsidR="00C47D08">
        <w:rPr>
          <w:sz w:val="24"/>
          <w:szCs w:val="24"/>
        </w:rPr>
        <w:t xml:space="preserve"> Below is </w:t>
      </w:r>
      <w:r w:rsidR="00065298">
        <w:rPr>
          <w:sz w:val="24"/>
          <w:szCs w:val="24"/>
        </w:rPr>
        <w:t xml:space="preserve">the </w:t>
      </w:r>
      <w:r w:rsidR="00C47D08">
        <w:rPr>
          <w:sz w:val="24"/>
          <w:szCs w:val="24"/>
        </w:rPr>
        <w:t>detailed medical information to s</w:t>
      </w:r>
      <w:r w:rsidR="0093580C">
        <w:rPr>
          <w:sz w:val="24"/>
          <w:szCs w:val="24"/>
        </w:rPr>
        <w:t>upport the use of vedolizumab</w:t>
      </w:r>
      <w:bookmarkStart w:id="0" w:name="_GoBack"/>
      <w:bookmarkEnd w:id="0"/>
      <w:r w:rsidR="00890669">
        <w:rPr>
          <w:sz w:val="24"/>
          <w:szCs w:val="24"/>
        </w:rPr>
        <w:t xml:space="preserve"> to help</w:t>
      </w:r>
      <w:r w:rsidR="00C47D08">
        <w:rPr>
          <w:sz w:val="24"/>
          <w:szCs w:val="24"/>
        </w:rPr>
        <w:t xml:space="preserve"> &lt;Mr./Ms. Doe&gt; </w:t>
      </w:r>
      <w:r w:rsidR="00890669">
        <w:rPr>
          <w:sz w:val="24"/>
          <w:szCs w:val="24"/>
        </w:rPr>
        <w:t xml:space="preserve">achieve </w:t>
      </w:r>
      <w:r w:rsidR="00C47D08">
        <w:rPr>
          <w:sz w:val="24"/>
          <w:szCs w:val="24"/>
        </w:rPr>
        <w:t xml:space="preserve">remission. </w:t>
      </w:r>
    </w:p>
    <w:p w14:paraId="1850C04C" w14:textId="77777777" w:rsidR="00C47D08" w:rsidRDefault="00C47D08">
      <w:pPr>
        <w:rPr>
          <w:sz w:val="24"/>
          <w:szCs w:val="24"/>
        </w:rPr>
      </w:pPr>
    </w:p>
    <w:p w14:paraId="6CEDDA61" w14:textId="77777777" w:rsidR="00890669" w:rsidRPr="00F718F8" w:rsidRDefault="00C47D08" w:rsidP="00C47D08">
      <w:pPr>
        <w:rPr>
          <w:color w:val="FF0000"/>
          <w:sz w:val="24"/>
          <w:szCs w:val="24"/>
        </w:rPr>
      </w:pPr>
      <w:r w:rsidRPr="00F718F8">
        <w:rPr>
          <w:color w:val="FF0000"/>
          <w:sz w:val="24"/>
          <w:szCs w:val="24"/>
        </w:rPr>
        <w:t>&lt;Mr./Ms. Doe&gt;</w:t>
      </w:r>
      <w:r>
        <w:rPr>
          <w:sz w:val="24"/>
          <w:szCs w:val="24"/>
        </w:rPr>
        <w:t xml:space="preserve"> has presented with </w:t>
      </w:r>
      <w:r w:rsidR="00890669" w:rsidRPr="00F718F8">
        <w:rPr>
          <w:color w:val="FF0000"/>
          <w:sz w:val="24"/>
          <w:szCs w:val="24"/>
        </w:rPr>
        <w:t>&lt;</w:t>
      </w:r>
      <w:r w:rsidR="00CA2203" w:rsidRPr="00E125F1">
        <w:rPr>
          <w:i/>
          <w:color w:val="FF0000"/>
          <w:sz w:val="24"/>
          <w:szCs w:val="24"/>
        </w:rPr>
        <w:t xml:space="preserve">insert </w:t>
      </w:r>
      <w:r w:rsidR="00890669" w:rsidRPr="00E125F1">
        <w:rPr>
          <w:i/>
          <w:color w:val="FF0000"/>
          <w:sz w:val="24"/>
          <w:szCs w:val="24"/>
        </w:rPr>
        <w:t>clinical information</w:t>
      </w:r>
      <w:r w:rsidR="00CA2203" w:rsidRPr="00F718F8">
        <w:rPr>
          <w:color w:val="FF0000"/>
          <w:sz w:val="24"/>
          <w:szCs w:val="24"/>
        </w:rPr>
        <w:t>&gt;. &lt;</w:t>
      </w:r>
      <w:r w:rsidR="00CA2203" w:rsidRPr="00E125F1">
        <w:rPr>
          <w:i/>
          <w:color w:val="FF0000"/>
          <w:sz w:val="24"/>
          <w:szCs w:val="24"/>
        </w:rPr>
        <w:t>E</w:t>
      </w:r>
      <w:r w:rsidR="00890669" w:rsidRPr="00E125F1">
        <w:rPr>
          <w:i/>
          <w:color w:val="FF0000"/>
          <w:sz w:val="24"/>
          <w:szCs w:val="24"/>
        </w:rPr>
        <w:t>xamples</w:t>
      </w:r>
      <w:r w:rsidR="00CA2203" w:rsidRPr="00E125F1">
        <w:rPr>
          <w:i/>
          <w:color w:val="FF0000"/>
          <w:sz w:val="24"/>
          <w:szCs w:val="24"/>
        </w:rPr>
        <w:t xml:space="preserve"> include</w:t>
      </w:r>
      <w:r w:rsidR="00890669" w:rsidRPr="00E125F1">
        <w:rPr>
          <w:i/>
          <w:color w:val="FF0000"/>
          <w:sz w:val="24"/>
          <w:szCs w:val="24"/>
        </w:rPr>
        <w:t>:</w:t>
      </w:r>
    </w:p>
    <w:p w14:paraId="7BDFB2F8" w14:textId="77777777" w:rsidR="00890669" w:rsidRPr="00F718F8" w:rsidRDefault="00890669" w:rsidP="00890669">
      <w:pPr>
        <w:pStyle w:val="ListParagraph"/>
        <w:numPr>
          <w:ilvl w:val="0"/>
          <w:numId w:val="1"/>
        </w:numPr>
        <w:rPr>
          <w:color w:val="FF0000"/>
          <w:sz w:val="24"/>
          <w:szCs w:val="24"/>
        </w:rPr>
      </w:pPr>
      <w:r w:rsidRPr="00F718F8">
        <w:rPr>
          <w:color w:val="FF0000"/>
          <w:sz w:val="24"/>
          <w:szCs w:val="24"/>
        </w:rPr>
        <w:t>Primary non-response to an anti-TNF therapy</w:t>
      </w:r>
    </w:p>
    <w:p w14:paraId="4FE1DE7C" w14:textId="71B26A48" w:rsidR="00C47D08" w:rsidRPr="00F718F8" w:rsidRDefault="00CA2203" w:rsidP="00890669">
      <w:pPr>
        <w:pStyle w:val="ListParagraph"/>
        <w:numPr>
          <w:ilvl w:val="0"/>
          <w:numId w:val="1"/>
        </w:numPr>
        <w:rPr>
          <w:color w:val="FF0000"/>
          <w:sz w:val="24"/>
          <w:szCs w:val="24"/>
        </w:rPr>
      </w:pPr>
      <w:r w:rsidRPr="00F718F8">
        <w:rPr>
          <w:color w:val="FF0000"/>
          <w:sz w:val="24"/>
          <w:szCs w:val="24"/>
        </w:rPr>
        <w:t xml:space="preserve">Other patient attributes that make it preferable to consider </w:t>
      </w:r>
      <w:r w:rsidR="0093580C">
        <w:rPr>
          <w:color w:val="FF0000"/>
          <w:sz w:val="24"/>
          <w:szCs w:val="24"/>
        </w:rPr>
        <w:t>vedolizumab</w:t>
      </w:r>
      <w:r w:rsidRPr="00F718F8">
        <w:rPr>
          <w:color w:val="FF0000"/>
          <w:sz w:val="24"/>
          <w:szCs w:val="24"/>
        </w:rPr>
        <w:t xml:space="preserve"> prior to anti-TNF therapy</w:t>
      </w:r>
      <w:r w:rsidR="00065298">
        <w:rPr>
          <w:color w:val="FF0000"/>
          <w:sz w:val="24"/>
          <w:szCs w:val="24"/>
        </w:rPr>
        <w:t>, such as safety or intolerance or contraindication</w:t>
      </w:r>
      <w:r w:rsidR="00B15176">
        <w:rPr>
          <w:color w:val="FF0000"/>
          <w:sz w:val="24"/>
          <w:szCs w:val="24"/>
        </w:rPr>
        <w:t>s</w:t>
      </w:r>
      <w:r w:rsidR="00065298">
        <w:rPr>
          <w:color w:val="FF0000"/>
          <w:sz w:val="24"/>
          <w:szCs w:val="24"/>
        </w:rPr>
        <w:t xml:space="preserve"> for anti-TNF</w:t>
      </w:r>
      <w:r w:rsidR="00890669" w:rsidRPr="00F718F8">
        <w:rPr>
          <w:color w:val="FF0000"/>
          <w:sz w:val="24"/>
          <w:szCs w:val="24"/>
        </w:rPr>
        <w:t>&gt;</w:t>
      </w:r>
    </w:p>
    <w:p w14:paraId="272127C5" w14:textId="77777777" w:rsidR="00C47D08" w:rsidRDefault="00C47D08" w:rsidP="00C47D08">
      <w:pPr>
        <w:rPr>
          <w:sz w:val="24"/>
          <w:szCs w:val="24"/>
        </w:rPr>
      </w:pPr>
    </w:p>
    <w:p w14:paraId="3DFF798C" w14:textId="162E5790" w:rsidR="00C47D08" w:rsidRPr="00D3242C" w:rsidRDefault="0093580C" w:rsidP="00C47D08">
      <w:pPr>
        <w:rPr>
          <w:color w:val="FF0000"/>
          <w:sz w:val="24"/>
          <w:szCs w:val="24"/>
        </w:rPr>
      </w:pPr>
      <w:r>
        <w:rPr>
          <w:sz w:val="24"/>
          <w:szCs w:val="24"/>
        </w:rPr>
        <w:t>Vedolizumab</w:t>
      </w:r>
      <w:r w:rsidR="00C47D08" w:rsidRPr="00C47D08">
        <w:rPr>
          <w:sz w:val="24"/>
          <w:szCs w:val="24"/>
        </w:rPr>
        <w:t xml:space="preserve"> is a distinct mechanism from anti-TNF therapies. It is a gut-selective alph</w:t>
      </w:r>
      <w:r w:rsidR="000B61E7">
        <w:rPr>
          <w:sz w:val="24"/>
          <w:szCs w:val="24"/>
        </w:rPr>
        <w:t>a</w:t>
      </w:r>
      <w:r w:rsidR="00C47D08" w:rsidRPr="00C47D08">
        <w:rPr>
          <w:sz w:val="24"/>
          <w:szCs w:val="24"/>
        </w:rPr>
        <w:t>4beta7 anti-integrin antibody. A</w:t>
      </w:r>
      <w:r w:rsidR="00890669">
        <w:rPr>
          <w:sz w:val="24"/>
          <w:szCs w:val="24"/>
        </w:rPr>
        <w:t xml:space="preserve">s such, it </w:t>
      </w:r>
      <w:r w:rsidR="00065298">
        <w:rPr>
          <w:sz w:val="24"/>
          <w:szCs w:val="24"/>
        </w:rPr>
        <w:t>is appropriate for</w:t>
      </w:r>
      <w:r w:rsidR="00890669">
        <w:rPr>
          <w:sz w:val="24"/>
          <w:szCs w:val="24"/>
        </w:rPr>
        <w:t xml:space="preserve"> </w:t>
      </w:r>
      <w:r w:rsidR="00C47D08" w:rsidRPr="00C47D08">
        <w:rPr>
          <w:sz w:val="24"/>
          <w:szCs w:val="24"/>
        </w:rPr>
        <w:t>many patients both for its unique mechanism of action</w:t>
      </w:r>
      <w:r w:rsidR="009023B7">
        <w:rPr>
          <w:sz w:val="24"/>
          <w:szCs w:val="24"/>
        </w:rPr>
        <w:t>,</w:t>
      </w:r>
      <w:r w:rsidR="00C47D08" w:rsidRPr="00C47D08">
        <w:rPr>
          <w:sz w:val="24"/>
          <w:szCs w:val="24"/>
        </w:rPr>
        <w:t xml:space="preserve"> as well as for its favorable, nonsystemic safety profile. </w:t>
      </w:r>
      <w:r w:rsidR="00C47D08" w:rsidRPr="00D3242C">
        <w:rPr>
          <w:color w:val="FF0000"/>
          <w:sz w:val="24"/>
          <w:szCs w:val="24"/>
        </w:rPr>
        <w:t>There are distinct patient populations in whom it is preferable to consider this therapy prior to anti-TNF therapy. In addition, it is appropriate to switch mechanisms of management when there is a primary non-response to the first anti-TNF therapy</w:t>
      </w:r>
      <w:r w:rsidR="00065298" w:rsidRPr="00D3242C">
        <w:rPr>
          <w:color w:val="FF0000"/>
          <w:sz w:val="24"/>
          <w:szCs w:val="24"/>
        </w:rPr>
        <w:t xml:space="preserve">, or when the current anti-TNF therapy is not </w:t>
      </w:r>
      <w:r w:rsidR="00FF44A9" w:rsidRPr="00D3242C">
        <w:rPr>
          <w:color w:val="FF0000"/>
          <w:sz w:val="24"/>
          <w:szCs w:val="24"/>
        </w:rPr>
        <w:t xml:space="preserve">adequately </w:t>
      </w:r>
      <w:r w:rsidR="00065298" w:rsidRPr="00D3242C">
        <w:rPr>
          <w:color w:val="FF0000"/>
          <w:sz w:val="24"/>
          <w:szCs w:val="24"/>
        </w:rPr>
        <w:t>controlling inflammation</w:t>
      </w:r>
      <w:r w:rsidR="00C47D08" w:rsidRPr="00D3242C">
        <w:rPr>
          <w:color w:val="FF0000"/>
          <w:sz w:val="24"/>
          <w:szCs w:val="24"/>
        </w:rPr>
        <w:t xml:space="preserve">.  </w:t>
      </w:r>
    </w:p>
    <w:p w14:paraId="0CE6C68E" w14:textId="77777777" w:rsidR="00C47D08" w:rsidRPr="00C47D08" w:rsidRDefault="00C47D08" w:rsidP="00C47D08">
      <w:pPr>
        <w:rPr>
          <w:sz w:val="24"/>
          <w:szCs w:val="24"/>
        </w:rPr>
      </w:pPr>
    </w:p>
    <w:p w14:paraId="0C5BEF22" w14:textId="37987588" w:rsidR="00CA2203" w:rsidRDefault="00C47D08" w:rsidP="00C47D08">
      <w:pPr>
        <w:rPr>
          <w:sz w:val="24"/>
          <w:szCs w:val="24"/>
        </w:rPr>
      </w:pPr>
      <w:r w:rsidRPr="00CA2203">
        <w:rPr>
          <w:sz w:val="24"/>
          <w:szCs w:val="24"/>
        </w:rPr>
        <w:t xml:space="preserve">In large clinical trials, </w:t>
      </w:r>
      <w:r w:rsidR="0093580C">
        <w:rPr>
          <w:sz w:val="24"/>
          <w:szCs w:val="24"/>
        </w:rPr>
        <w:t>vedolizumab</w:t>
      </w:r>
      <w:r w:rsidRPr="00CA2203">
        <w:rPr>
          <w:sz w:val="24"/>
          <w:szCs w:val="24"/>
        </w:rPr>
        <w:t xml:space="preserve"> was effective in both anti-TNF naïve (no prior anti-TNF therapy) and in anti-TNF experienced patients. The </w:t>
      </w:r>
      <w:r w:rsidR="00890669" w:rsidRPr="00CA2203">
        <w:rPr>
          <w:sz w:val="24"/>
          <w:szCs w:val="24"/>
        </w:rPr>
        <w:t>Food and Drug Administration (</w:t>
      </w:r>
      <w:r w:rsidRPr="00CA2203">
        <w:rPr>
          <w:sz w:val="24"/>
          <w:szCs w:val="24"/>
        </w:rPr>
        <w:t>FDA</w:t>
      </w:r>
      <w:r w:rsidR="00890669" w:rsidRPr="00CA2203">
        <w:rPr>
          <w:sz w:val="24"/>
          <w:szCs w:val="24"/>
        </w:rPr>
        <w:t>)</w:t>
      </w:r>
      <w:r w:rsidRPr="00CA2203">
        <w:rPr>
          <w:sz w:val="24"/>
          <w:szCs w:val="24"/>
        </w:rPr>
        <w:t xml:space="preserve"> approved the u</w:t>
      </w:r>
      <w:r w:rsidR="00FF44A9">
        <w:rPr>
          <w:sz w:val="24"/>
          <w:szCs w:val="24"/>
        </w:rPr>
        <w:t xml:space="preserve">se of </w:t>
      </w:r>
      <w:r w:rsidR="0093580C">
        <w:rPr>
          <w:sz w:val="24"/>
          <w:szCs w:val="24"/>
        </w:rPr>
        <w:t>vedolizumab</w:t>
      </w:r>
      <w:r w:rsidR="00FF44A9">
        <w:rPr>
          <w:sz w:val="24"/>
          <w:szCs w:val="24"/>
        </w:rPr>
        <w:t xml:space="preserve"> in both </w:t>
      </w:r>
      <w:r w:rsidRPr="00CA2203">
        <w:rPr>
          <w:sz w:val="24"/>
          <w:szCs w:val="24"/>
        </w:rPr>
        <w:t xml:space="preserve">Crohn’s disease and ulcerative colitis patients. </w:t>
      </w:r>
      <w:r w:rsidR="00CA2203">
        <w:rPr>
          <w:sz w:val="24"/>
          <w:szCs w:val="24"/>
        </w:rPr>
        <w:t xml:space="preserve">In addition, </w:t>
      </w:r>
      <w:r w:rsidR="00065298">
        <w:rPr>
          <w:sz w:val="24"/>
          <w:szCs w:val="24"/>
        </w:rPr>
        <w:t xml:space="preserve">failure of anti-TNF is not required prior to using </w:t>
      </w:r>
      <w:r w:rsidR="0093580C">
        <w:rPr>
          <w:sz w:val="24"/>
          <w:szCs w:val="24"/>
        </w:rPr>
        <w:t>vedolizumab</w:t>
      </w:r>
      <w:r w:rsidR="00065298">
        <w:rPr>
          <w:sz w:val="24"/>
          <w:szCs w:val="24"/>
        </w:rPr>
        <w:t xml:space="preserve">. This is an important distinction. </w:t>
      </w:r>
    </w:p>
    <w:p w14:paraId="3DF1B202" w14:textId="77777777" w:rsidR="00065298" w:rsidRPr="00C47D08" w:rsidRDefault="00065298" w:rsidP="00C47D08">
      <w:pPr>
        <w:rPr>
          <w:sz w:val="24"/>
          <w:szCs w:val="24"/>
        </w:rPr>
      </w:pPr>
    </w:p>
    <w:p w14:paraId="7C46DB94" w14:textId="7B1B1A0B" w:rsidR="00C47D08" w:rsidRDefault="00E125F1" w:rsidP="00C47D08">
      <w:pPr>
        <w:rPr>
          <w:sz w:val="24"/>
          <w:szCs w:val="24"/>
        </w:rPr>
      </w:pPr>
      <w:r>
        <w:rPr>
          <w:sz w:val="24"/>
          <w:szCs w:val="24"/>
        </w:rPr>
        <w:t>Medical care is adversely affected by p</w:t>
      </w:r>
      <w:r w:rsidR="00C47D08" w:rsidRPr="00C47D08">
        <w:rPr>
          <w:sz w:val="24"/>
          <w:szCs w:val="24"/>
        </w:rPr>
        <w:t xml:space="preserve">olicies that </w:t>
      </w:r>
      <w:r w:rsidR="00CA2203">
        <w:rPr>
          <w:sz w:val="24"/>
          <w:szCs w:val="24"/>
        </w:rPr>
        <w:t>limit access to anti-</w:t>
      </w:r>
      <w:r>
        <w:rPr>
          <w:sz w:val="24"/>
          <w:szCs w:val="24"/>
        </w:rPr>
        <w:t xml:space="preserve">integrin therapies </w:t>
      </w:r>
      <w:r w:rsidR="00CA2203">
        <w:rPr>
          <w:sz w:val="24"/>
          <w:szCs w:val="24"/>
        </w:rPr>
        <w:t xml:space="preserve">by </w:t>
      </w:r>
      <w:r w:rsidR="00065298">
        <w:rPr>
          <w:sz w:val="24"/>
          <w:szCs w:val="24"/>
        </w:rPr>
        <w:t>affecting medical decisions</w:t>
      </w:r>
      <w:r w:rsidR="007A3537">
        <w:rPr>
          <w:sz w:val="24"/>
          <w:szCs w:val="24"/>
        </w:rPr>
        <w:t>,</w:t>
      </w:r>
      <w:r w:rsidR="00065298">
        <w:rPr>
          <w:sz w:val="24"/>
          <w:szCs w:val="24"/>
        </w:rPr>
        <w:t xml:space="preserve"> and by </w:t>
      </w:r>
      <w:r w:rsidR="00CA2203">
        <w:rPr>
          <w:sz w:val="24"/>
          <w:szCs w:val="24"/>
        </w:rPr>
        <w:t>interrupting the decision-making process between the physician and patient</w:t>
      </w:r>
      <w:r w:rsidR="00065298">
        <w:rPr>
          <w:sz w:val="24"/>
          <w:szCs w:val="24"/>
        </w:rPr>
        <w:t xml:space="preserve">. </w:t>
      </w:r>
      <w:r w:rsidR="00CA2203">
        <w:rPr>
          <w:sz w:val="24"/>
          <w:szCs w:val="24"/>
        </w:rPr>
        <w:t xml:space="preserve"> </w:t>
      </w:r>
      <w:r w:rsidRPr="00E125F1">
        <w:rPr>
          <w:color w:val="FF0000"/>
          <w:sz w:val="24"/>
          <w:szCs w:val="24"/>
        </w:rPr>
        <w:t>&lt;</w:t>
      </w:r>
      <w:r w:rsidRPr="00E125F1">
        <w:rPr>
          <w:i/>
          <w:color w:val="FF0000"/>
          <w:sz w:val="24"/>
          <w:szCs w:val="24"/>
        </w:rPr>
        <w:t xml:space="preserve">Optional based on the insurer grounds for refusal to cover: </w:t>
      </w:r>
      <w:r w:rsidR="00065298" w:rsidRPr="00E125F1">
        <w:rPr>
          <w:color w:val="FF0000"/>
          <w:sz w:val="24"/>
          <w:szCs w:val="24"/>
        </w:rPr>
        <w:t>Po</w:t>
      </w:r>
      <w:r w:rsidR="00CA2203" w:rsidRPr="00E125F1">
        <w:rPr>
          <w:color w:val="FF0000"/>
          <w:sz w:val="24"/>
          <w:szCs w:val="24"/>
        </w:rPr>
        <w:t xml:space="preserve">licies </w:t>
      </w:r>
      <w:r w:rsidR="00065298" w:rsidRPr="00E125F1">
        <w:rPr>
          <w:color w:val="FF0000"/>
          <w:sz w:val="24"/>
          <w:szCs w:val="24"/>
        </w:rPr>
        <w:t xml:space="preserve">that </w:t>
      </w:r>
      <w:r w:rsidR="00CA2203" w:rsidRPr="00E125F1">
        <w:rPr>
          <w:color w:val="FF0000"/>
          <w:sz w:val="24"/>
          <w:szCs w:val="24"/>
        </w:rPr>
        <w:t xml:space="preserve">a) </w:t>
      </w:r>
      <w:r w:rsidR="00C47D08" w:rsidRPr="00E125F1">
        <w:rPr>
          <w:color w:val="FF0000"/>
          <w:sz w:val="24"/>
          <w:szCs w:val="24"/>
        </w:rPr>
        <w:t>require Crohn’s disease and ulcerative colitis patients to fail two anti-TNF therapies prior to being provided</w:t>
      </w:r>
      <w:r w:rsidR="00CA2203" w:rsidRPr="00E125F1">
        <w:rPr>
          <w:color w:val="FF0000"/>
          <w:sz w:val="24"/>
          <w:szCs w:val="24"/>
        </w:rPr>
        <w:t xml:space="preserve"> access</w:t>
      </w:r>
      <w:r w:rsidR="00065298" w:rsidRPr="00E125F1">
        <w:rPr>
          <w:color w:val="FF0000"/>
          <w:sz w:val="24"/>
          <w:szCs w:val="24"/>
        </w:rPr>
        <w:t xml:space="preserve"> are both unnecessary and potentially harmful and costly</w:t>
      </w:r>
      <w:r w:rsidR="00890669" w:rsidRPr="00E125F1">
        <w:rPr>
          <w:color w:val="FF0000"/>
          <w:sz w:val="24"/>
          <w:szCs w:val="24"/>
        </w:rPr>
        <w:t>. A</w:t>
      </w:r>
      <w:r w:rsidR="00C47D08" w:rsidRPr="00E125F1">
        <w:rPr>
          <w:color w:val="FF0000"/>
          <w:sz w:val="24"/>
          <w:szCs w:val="24"/>
        </w:rPr>
        <w:t xml:space="preserve"> significant number of patients failing to respond or losing response to an anti-TNF therapy are doing so </w:t>
      </w:r>
      <w:r w:rsidR="00C47D08" w:rsidRPr="00E125F1">
        <w:rPr>
          <w:color w:val="FF0000"/>
          <w:sz w:val="24"/>
          <w:szCs w:val="24"/>
        </w:rPr>
        <w:lastRenderedPageBreak/>
        <w:t>because of mechanism failure. In such situations, exposing such patients to a second drug within the same class is medically incorrect, and would be considered in many cases unethical, with the likelihood of damage and disease progression outweighing any benefits. It is also highly likely to be cost ineffective for both direct (costs of drug and escalation of care) an</w:t>
      </w:r>
      <w:r w:rsidR="000B61E7">
        <w:rPr>
          <w:color w:val="FF0000"/>
          <w:sz w:val="24"/>
          <w:szCs w:val="24"/>
        </w:rPr>
        <w:t>d indirect (costs of lost work/</w:t>
      </w:r>
      <w:r w:rsidR="00C47D08" w:rsidRPr="00E125F1">
        <w:rPr>
          <w:color w:val="FF0000"/>
          <w:sz w:val="24"/>
          <w:szCs w:val="24"/>
        </w:rPr>
        <w:t>school</w:t>
      </w:r>
      <w:r w:rsidR="000B61E7">
        <w:rPr>
          <w:color w:val="FF0000"/>
          <w:sz w:val="24"/>
          <w:szCs w:val="24"/>
        </w:rPr>
        <w:t>,</w:t>
      </w:r>
      <w:r w:rsidR="00C47D08" w:rsidRPr="00E125F1">
        <w:rPr>
          <w:color w:val="FF0000"/>
          <w:sz w:val="24"/>
          <w:szCs w:val="24"/>
        </w:rPr>
        <w:t xml:space="preserve"> and progression of disease) reasons.</w:t>
      </w:r>
      <w:r w:rsidR="00DB30C0">
        <w:rPr>
          <w:color w:val="FF0000"/>
          <w:sz w:val="24"/>
          <w:szCs w:val="24"/>
        </w:rPr>
        <w:t xml:space="preserve"> Or b) require unnecessary infectious disease testing </w:t>
      </w:r>
      <w:r w:rsidR="009023B7">
        <w:rPr>
          <w:color w:val="FF0000"/>
          <w:sz w:val="24"/>
          <w:szCs w:val="24"/>
        </w:rPr>
        <w:t xml:space="preserve">that </w:t>
      </w:r>
      <w:r w:rsidR="007A3537">
        <w:rPr>
          <w:color w:val="FF0000"/>
          <w:sz w:val="24"/>
          <w:szCs w:val="24"/>
        </w:rPr>
        <w:t xml:space="preserve">is </w:t>
      </w:r>
      <w:r w:rsidR="00DB30C0">
        <w:rPr>
          <w:color w:val="FF0000"/>
          <w:sz w:val="24"/>
          <w:szCs w:val="24"/>
        </w:rPr>
        <w:t>costly</w:t>
      </w:r>
      <w:r w:rsidR="007A3537">
        <w:rPr>
          <w:color w:val="FF0000"/>
          <w:sz w:val="24"/>
          <w:szCs w:val="24"/>
        </w:rPr>
        <w:t>,</w:t>
      </w:r>
      <w:r w:rsidR="00DB30C0">
        <w:rPr>
          <w:color w:val="FF0000"/>
          <w:sz w:val="24"/>
          <w:szCs w:val="24"/>
        </w:rPr>
        <w:t xml:space="preserve"> and delay the time this therapy can be started. Testing for &lt;hepatitis B and/or tuberculosis</w:t>
      </w:r>
      <w:r w:rsidR="00CA2203" w:rsidRPr="00E125F1">
        <w:rPr>
          <w:color w:val="FF0000"/>
          <w:sz w:val="24"/>
          <w:szCs w:val="24"/>
        </w:rPr>
        <w:t xml:space="preserve"> </w:t>
      </w:r>
      <w:r w:rsidR="009023B7">
        <w:rPr>
          <w:color w:val="FF0000"/>
          <w:sz w:val="24"/>
          <w:szCs w:val="24"/>
        </w:rPr>
        <w:t>is</w:t>
      </w:r>
      <w:r w:rsidR="009023B7" w:rsidRPr="00E125F1">
        <w:rPr>
          <w:color w:val="FF0000"/>
          <w:sz w:val="24"/>
          <w:szCs w:val="24"/>
        </w:rPr>
        <w:t xml:space="preserve"> </w:t>
      </w:r>
      <w:r w:rsidR="00CA2203" w:rsidRPr="00E125F1">
        <w:rPr>
          <w:color w:val="FF0000"/>
          <w:sz w:val="24"/>
          <w:szCs w:val="24"/>
        </w:rPr>
        <w:t xml:space="preserve">not indicated, </w:t>
      </w:r>
      <w:r w:rsidR="009023B7">
        <w:rPr>
          <w:color w:val="FF0000"/>
          <w:sz w:val="24"/>
          <w:szCs w:val="24"/>
        </w:rPr>
        <w:t>was</w:t>
      </w:r>
      <w:r w:rsidR="009023B7" w:rsidRPr="00E125F1">
        <w:rPr>
          <w:color w:val="FF0000"/>
          <w:sz w:val="24"/>
          <w:szCs w:val="24"/>
        </w:rPr>
        <w:t xml:space="preserve"> </w:t>
      </w:r>
      <w:r w:rsidR="00CA2203" w:rsidRPr="00E125F1">
        <w:rPr>
          <w:color w:val="FF0000"/>
          <w:sz w:val="24"/>
          <w:szCs w:val="24"/>
        </w:rPr>
        <w:t>not in the label</w:t>
      </w:r>
      <w:r w:rsidR="007A3537">
        <w:rPr>
          <w:color w:val="FF0000"/>
          <w:sz w:val="24"/>
          <w:szCs w:val="24"/>
        </w:rPr>
        <w:t>,</w:t>
      </w:r>
      <w:r w:rsidR="00CA2203" w:rsidRPr="00E125F1">
        <w:rPr>
          <w:color w:val="FF0000"/>
          <w:sz w:val="24"/>
          <w:szCs w:val="24"/>
        </w:rPr>
        <w:t xml:space="preserve"> </w:t>
      </w:r>
      <w:r w:rsidR="009023B7">
        <w:rPr>
          <w:color w:val="FF0000"/>
          <w:sz w:val="24"/>
          <w:szCs w:val="24"/>
        </w:rPr>
        <w:t>has</w:t>
      </w:r>
      <w:r w:rsidR="009023B7" w:rsidRPr="00E125F1">
        <w:rPr>
          <w:color w:val="FF0000"/>
          <w:sz w:val="24"/>
          <w:szCs w:val="24"/>
        </w:rPr>
        <w:t xml:space="preserve"> </w:t>
      </w:r>
      <w:r w:rsidR="00CA2203" w:rsidRPr="00E125F1">
        <w:rPr>
          <w:color w:val="FF0000"/>
          <w:sz w:val="24"/>
          <w:szCs w:val="24"/>
        </w:rPr>
        <w:t>not been supported by any safety evidence</w:t>
      </w:r>
      <w:r w:rsidR="009023B7">
        <w:rPr>
          <w:color w:val="FF0000"/>
          <w:sz w:val="24"/>
          <w:szCs w:val="24"/>
        </w:rPr>
        <w:t>, and</w:t>
      </w:r>
      <w:r w:rsidR="00CA2203" w:rsidRPr="00E125F1">
        <w:rPr>
          <w:color w:val="FF0000"/>
          <w:sz w:val="24"/>
          <w:szCs w:val="24"/>
        </w:rPr>
        <w:t xml:space="preserve"> is also both expensive and unnecessary.</w:t>
      </w:r>
      <w:r w:rsidR="00DB30C0">
        <w:rPr>
          <w:color w:val="FF0000"/>
          <w:sz w:val="24"/>
          <w:szCs w:val="24"/>
        </w:rPr>
        <w:t xml:space="preserve"> In fact</w:t>
      </w:r>
      <w:r w:rsidR="007A3537">
        <w:rPr>
          <w:color w:val="FF0000"/>
          <w:sz w:val="24"/>
          <w:szCs w:val="24"/>
        </w:rPr>
        <w:t>,</w:t>
      </w:r>
      <w:r w:rsidR="00DB30C0">
        <w:rPr>
          <w:color w:val="FF0000"/>
          <w:sz w:val="24"/>
          <w:szCs w:val="24"/>
        </w:rPr>
        <w:t xml:space="preserve"> Colombel </w:t>
      </w:r>
      <w:r w:rsidR="00DB30C0">
        <w:rPr>
          <w:i/>
          <w:color w:val="FF0000"/>
          <w:sz w:val="24"/>
          <w:szCs w:val="24"/>
        </w:rPr>
        <w:t xml:space="preserve">et al. </w:t>
      </w:r>
      <w:r w:rsidR="00DB30C0">
        <w:rPr>
          <w:color w:val="FF0000"/>
          <w:sz w:val="24"/>
          <w:szCs w:val="24"/>
        </w:rPr>
        <w:t xml:space="preserve">(Gut 2017;66:839-51) found no increased risk of TB in patients receiving </w:t>
      </w:r>
      <w:r w:rsidR="0093580C">
        <w:rPr>
          <w:color w:val="FF0000"/>
          <w:sz w:val="24"/>
          <w:szCs w:val="24"/>
        </w:rPr>
        <w:t>vedolizumab</w:t>
      </w:r>
      <w:r w:rsidR="009023B7">
        <w:rPr>
          <w:color w:val="FF0000"/>
          <w:sz w:val="24"/>
          <w:szCs w:val="24"/>
        </w:rPr>
        <w:t>,</w:t>
      </w:r>
      <w:r w:rsidR="00DB30C0">
        <w:rPr>
          <w:color w:val="FF0000"/>
          <w:sz w:val="24"/>
          <w:szCs w:val="24"/>
        </w:rPr>
        <w:t xml:space="preserve"> compared to the general population. Several studies have now shown no increased risk of Hepatitis B reactivation in patients on </w:t>
      </w:r>
      <w:r w:rsidR="0093580C">
        <w:rPr>
          <w:color w:val="FF0000"/>
          <w:sz w:val="24"/>
          <w:szCs w:val="24"/>
        </w:rPr>
        <w:t>vedolizumab</w:t>
      </w:r>
      <w:r w:rsidR="00DB30C0">
        <w:rPr>
          <w:color w:val="FF0000"/>
          <w:sz w:val="24"/>
          <w:szCs w:val="24"/>
        </w:rPr>
        <w:t xml:space="preserve"> (Colombel JF. Gut 2017;66:839-51; Wu DC. P1315; ACG2017) </w:t>
      </w:r>
      <w:r>
        <w:rPr>
          <w:color w:val="FF0000"/>
          <w:sz w:val="24"/>
          <w:szCs w:val="24"/>
        </w:rPr>
        <w:t>&gt;</w:t>
      </w:r>
    </w:p>
    <w:p w14:paraId="4562A956" w14:textId="77777777" w:rsidR="00890669" w:rsidRPr="00CA2203" w:rsidRDefault="00890669" w:rsidP="00C47D08">
      <w:pPr>
        <w:rPr>
          <w:sz w:val="24"/>
          <w:szCs w:val="24"/>
        </w:rPr>
      </w:pPr>
    </w:p>
    <w:p w14:paraId="750729B9" w14:textId="2CB8B3AD" w:rsidR="00CA2203" w:rsidRPr="00CA2203" w:rsidRDefault="00CA2203" w:rsidP="00CA2203">
      <w:pPr>
        <w:rPr>
          <w:rFonts w:cs="Arial"/>
          <w:color w:val="000000"/>
          <w:sz w:val="24"/>
          <w:szCs w:val="24"/>
        </w:rPr>
      </w:pPr>
      <w:r w:rsidRPr="00CA2203">
        <w:rPr>
          <w:rFonts w:cs="Arial"/>
          <w:color w:val="000000"/>
          <w:sz w:val="24"/>
          <w:szCs w:val="24"/>
        </w:rPr>
        <w:t xml:space="preserve">Please approve this request for </w:t>
      </w:r>
      <w:r w:rsidR="0093580C">
        <w:rPr>
          <w:rFonts w:cs="Arial"/>
          <w:color w:val="000000"/>
          <w:sz w:val="24"/>
          <w:szCs w:val="24"/>
        </w:rPr>
        <w:t>vedolizumab</w:t>
      </w:r>
      <w:r w:rsidR="009023B7">
        <w:rPr>
          <w:rFonts w:cs="Arial"/>
          <w:color w:val="000000"/>
          <w:sz w:val="24"/>
          <w:szCs w:val="24"/>
        </w:rPr>
        <w:t>,</w:t>
      </w:r>
      <w:r>
        <w:rPr>
          <w:rFonts w:cs="Arial"/>
          <w:color w:val="000000"/>
          <w:sz w:val="24"/>
          <w:szCs w:val="24"/>
        </w:rPr>
        <w:t xml:space="preserve"> </w:t>
      </w:r>
      <w:r w:rsidRPr="00CA2203">
        <w:rPr>
          <w:rFonts w:cs="Arial"/>
          <w:color w:val="000000"/>
          <w:sz w:val="24"/>
          <w:szCs w:val="24"/>
        </w:rPr>
        <w:t xml:space="preserve">and allow </w:t>
      </w:r>
      <w:r w:rsidR="00F718F8" w:rsidRPr="00F718F8">
        <w:rPr>
          <w:rFonts w:cs="Arial"/>
          <w:color w:val="FF0000"/>
          <w:sz w:val="24"/>
          <w:szCs w:val="24"/>
        </w:rPr>
        <w:t>&lt;</w:t>
      </w:r>
      <w:r w:rsidRPr="00F718F8">
        <w:rPr>
          <w:rFonts w:cs="Arial"/>
          <w:color w:val="FF0000"/>
          <w:sz w:val="24"/>
          <w:szCs w:val="24"/>
        </w:rPr>
        <w:t>Mr./Ms. Doe</w:t>
      </w:r>
      <w:r w:rsidR="00F718F8" w:rsidRPr="00F718F8">
        <w:rPr>
          <w:rFonts w:cs="Arial"/>
          <w:color w:val="FF0000"/>
          <w:sz w:val="24"/>
          <w:szCs w:val="24"/>
        </w:rPr>
        <w:t>&gt;</w:t>
      </w:r>
      <w:r w:rsidRPr="00F718F8">
        <w:rPr>
          <w:rFonts w:cs="Arial"/>
          <w:color w:val="FF0000"/>
          <w:sz w:val="24"/>
          <w:szCs w:val="24"/>
        </w:rPr>
        <w:t xml:space="preserve"> </w:t>
      </w:r>
      <w:r>
        <w:rPr>
          <w:rFonts w:cs="Arial"/>
          <w:color w:val="000000"/>
          <w:sz w:val="24"/>
          <w:szCs w:val="24"/>
        </w:rPr>
        <w:t xml:space="preserve">to </w:t>
      </w:r>
      <w:r w:rsidRPr="00CA2203">
        <w:rPr>
          <w:rFonts w:cs="Arial"/>
          <w:color w:val="000000"/>
          <w:sz w:val="24"/>
          <w:szCs w:val="24"/>
        </w:rPr>
        <w:t xml:space="preserve">return to a productive life free from the symptoms of moderate to severe </w:t>
      </w:r>
      <w:r w:rsidRPr="00F718F8">
        <w:rPr>
          <w:rFonts w:cs="Arial"/>
          <w:color w:val="FF0000"/>
          <w:sz w:val="24"/>
          <w:szCs w:val="24"/>
        </w:rPr>
        <w:t>&lt;Crohn’s disease or ulcerative colitis&gt;</w:t>
      </w:r>
      <w:r w:rsidRPr="00CA2203">
        <w:rPr>
          <w:rFonts w:cs="Arial"/>
          <w:color w:val="000000"/>
          <w:sz w:val="24"/>
          <w:szCs w:val="24"/>
        </w:rPr>
        <w:t xml:space="preserve">.  </w:t>
      </w:r>
    </w:p>
    <w:p w14:paraId="2ED8841C" w14:textId="77777777" w:rsidR="00CA2203" w:rsidRPr="00CA2203" w:rsidRDefault="00CA2203" w:rsidP="00CA2203">
      <w:pPr>
        <w:rPr>
          <w:rFonts w:cs="Arial"/>
          <w:color w:val="000000"/>
          <w:sz w:val="24"/>
          <w:szCs w:val="24"/>
        </w:rPr>
      </w:pPr>
    </w:p>
    <w:p w14:paraId="43510136" w14:textId="77777777" w:rsidR="00CA2203" w:rsidRPr="00CA2203" w:rsidRDefault="00CA2203" w:rsidP="00CA2203">
      <w:pPr>
        <w:rPr>
          <w:rFonts w:cs="Arial"/>
          <w:color w:val="000000"/>
          <w:sz w:val="24"/>
          <w:szCs w:val="24"/>
        </w:rPr>
      </w:pPr>
      <w:r w:rsidRPr="00CA2203">
        <w:rPr>
          <w:rFonts w:cs="Arial"/>
          <w:color w:val="000000"/>
          <w:sz w:val="24"/>
          <w:szCs w:val="24"/>
        </w:rPr>
        <w:t xml:space="preserve">Please contact me at </w:t>
      </w:r>
      <w:r w:rsidRPr="00F718F8">
        <w:rPr>
          <w:rFonts w:cs="Arial"/>
          <w:color w:val="FF0000"/>
          <w:sz w:val="24"/>
          <w:szCs w:val="24"/>
        </w:rPr>
        <w:t xml:space="preserve">(xxx) xxx-xxxx </w:t>
      </w:r>
      <w:r w:rsidRPr="00CA2203">
        <w:rPr>
          <w:rFonts w:cs="Arial"/>
          <w:color w:val="000000"/>
          <w:sz w:val="24"/>
          <w:szCs w:val="24"/>
        </w:rPr>
        <w:t xml:space="preserve">if any additional information will help clarify this request.  </w:t>
      </w:r>
    </w:p>
    <w:p w14:paraId="15A842B2" w14:textId="77777777" w:rsidR="00CA2203" w:rsidRPr="00CA2203" w:rsidRDefault="00CA2203" w:rsidP="00CA2203">
      <w:pPr>
        <w:rPr>
          <w:rFonts w:cs="Arial"/>
          <w:color w:val="000000"/>
          <w:sz w:val="24"/>
          <w:szCs w:val="24"/>
        </w:rPr>
      </w:pPr>
    </w:p>
    <w:p w14:paraId="7313647A" w14:textId="77777777" w:rsidR="00CA2203" w:rsidRPr="00CA2203" w:rsidRDefault="00CA2203" w:rsidP="00CA2203">
      <w:pPr>
        <w:rPr>
          <w:rFonts w:cs="Arial"/>
          <w:color w:val="000000"/>
          <w:sz w:val="24"/>
          <w:szCs w:val="24"/>
        </w:rPr>
      </w:pPr>
      <w:r w:rsidRPr="00CA2203">
        <w:rPr>
          <w:rFonts w:cs="Arial"/>
          <w:color w:val="000000"/>
          <w:sz w:val="24"/>
          <w:szCs w:val="24"/>
        </w:rPr>
        <w:t>Sincerely,</w:t>
      </w:r>
    </w:p>
    <w:p w14:paraId="4A0296E7" w14:textId="77777777" w:rsidR="00CA2203" w:rsidRPr="00CA2203" w:rsidRDefault="00CA2203" w:rsidP="00CA2203">
      <w:pPr>
        <w:rPr>
          <w:rFonts w:cs="Arial"/>
          <w:color w:val="000000"/>
          <w:sz w:val="24"/>
          <w:szCs w:val="24"/>
        </w:rPr>
      </w:pPr>
    </w:p>
    <w:p w14:paraId="6063FC0D" w14:textId="77777777" w:rsidR="00CA2203" w:rsidRPr="00CA2203" w:rsidRDefault="00CA2203" w:rsidP="00CA2203">
      <w:pPr>
        <w:rPr>
          <w:rFonts w:cs="Arial"/>
          <w:color w:val="000000"/>
          <w:sz w:val="24"/>
          <w:szCs w:val="24"/>
        </w:rPr>
      </w:pPr>
      <w:r w:rsidRPr="00CA2203">
        <w:rPr>
          <w:rFonts w:cs="Arial"/>
          <w:color w:val="000000"/>
          <w:sz w:val="24"/>
          <w:szCs w:val="24"/>
        </w:rPr>
        <w:t xml:space="preserve">Dr. </w:t>
      </w:r>
    </w:p>
    <w:p w14:paraId="76C95A48" w14:textId="77777777" w:rsidR="00CA2203" w:rsidRPr="00CA2203" w:rsidRDefault="00CA2203" w:rsidP="00CA2203">
      <w:pPr>
        <w:rPr>
          <w:rFonts w:cs="Arial"/>
          <w:color w:val="000000"/>
          <w:sz w:val="24"/>
          <w:szCs w:val="24"/>
        </w:rPr>
      </w:pPr>
      <w:r w:rsidRPr="00CA2203">
        <w:rPr>
          <w:rFonts w:cs="Arial"/>
          <w:color w:val="000000"/>
          <w:sz w:val="24"/>
          <w:szCs w:val="24"/>
        </w:rPr>
        <w:t>Address</w:t>
      </w:r>
    </w:p>
    <w:p w14:paraId="25997B03" w14:textId="77777777" w:rsidR="00CA2203" w:rsidRPr="00CA2203" w:rsidRDefault="00CA2203" w:rsidP="00CA2203">
      <w:pPr>
        <w:rPr>
          <w:rFonts w:cs="Arial"/>
          <w:color w:val="000000"/>
          <w:sz w:val="24"/>
          <w:szCs w:val="24"/>
        </w:rPr>
      </w:pPr>
      <w:r w:rsidRPr="00CA2203">
        <w:rPr>
          <w:rFonts w:cs="Arial"/>
          <w:color w:val="000000"/>
          <w:sz w:val="24"/>
          <w:szCs w:val="24"/>
        </w:rPr>
        <w:t>Contact Info</w:t>
      </w:r>
    </w:p>
    <w:p w14:paraId="0C10E980" w14:textId="77777777" w:rsidR="00CA2203" w:rsidRPr="00CA2203" w:rsidRDefault="00CA2203" w:rsidP="00CA2203">
      <w:pPr>
        <w:rPr>
          <w:rFonts w:cs="Arial"/>
          <w:sz w:val="24"/>
          <w:szCs w:val="24"/>
        </w:rPr>
      </w:pPr>
    </w:p>
    <w:p w14:paraId="7E114FA2" w14:textId="77777777" w:rsidR="00E07D96" w:rsidRDefault="00E07D96">
      <w:pPr>
        <w:rPr>
          <w:sz w:val="24"/>
          <w:szCs w:val="24"/>
        </w:rPr>
      </w:pPr>
    </w:p>
    <w:p w14:paraId="79290571" w14:textId="77777777" w:rsidR="00E07D96" w:rsidRDefault="00E07D96">
      <w:pPr>
        <w:rPr>
          <w:sz w:val="24"/>
          <w:szCs w:val="24"/>
        </w:rPr>
      </w:pPr>
    </w:p>
    <w:p w14:paraId="35C2A92D" w14:textId="77777777" w:rsidR="00E07D96" w:rsidRPr="008D4AF7" w:rsidRDefault="00E07D96">
      <w:pPr>
        <w:rPr>
          <w:sz w:val="24"/>
          <w:szCs w:val="24"/>
        </w:rPr>
      </w:pPr>
    </w:p>
    <w:sectPr w:rsidR="00E07D96" w:rsidRPr="008D4AF7" w:rsidSect="0018270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1F6E9" w14:textId="77777777" w:rsidR="00D3242C" w:rsidRDefault="00D3242C" w:rsidP="00D3242C">
      <w:r>
        <w:separator/>
      </w:r>
    </w:p>
  </w:endnote>
  <w:endnote w:type="continuationSeparator" w:id="0">
    <w:p w14:paraId="1B607F24" w14:textId="77777777" w:rsidR="00D3242C" w:rsidRDefault="00D3242C" w:rsidP="00D3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521CD" w14:textId="759FD9CD" w:rsidR="0093580C" w:rsidRPr="007B3283" w:rsidRDefault="0093580C" w:rsidP="0093580C">
    <w:pPr>
      <w:rPr>
        <w:rFonts w:ascii="Calibri" w:hAnsi="Calibri" w:cs="Calibri"/>
        <w:i/>
        <w:sz w:val="17"/>
        <w:szCs w:val="17"/>
      </w:rPr>
    </w:pPr>
    <w:r w:rsidRPr="007B3283">
      <w:rPr>
        <w:rFonts w:ascii="Calibri" w:hAnsi="Calibri" w:cs="Calibri"/>
        <w:i/>
        <w:sz w:val="17"/>
        <w:szCs w:val="17"/>
      </w:rPr>
      <w:t>Disclaimer:  The sample appeal letters available to prescribing physicians on this website may include use of agents for conditions other than their FDA indications.  The Crohn’s &amp; Colitis Foundation does not endorse the use of any pharmaceutical agent, including any use which is outside the labeled indication.   The Crohn’s &amp; Colitis Foundation provides this service for informational purposes only.  The Crohn’s &amp; Colitis Foundation, its agents, officers, employees and volunteers shall not be liable for any claims, damages or actions whatsoever which may arise for the use of this information. (Remove disclaimer prior to submission of recipient)</w:t>
    </w:r>
  </w:p>
  <w:p w14:paraId="3A749BDD" w14:textId="1A6D7EA2" w:rsidR="0093580C" w:rsidRDefault="0093580C">
    <w:pPr>
      <w:pStyle w:val="Footer"/>
    </w:pPr>
  </w:p>
  <w:p w14:paraId="2E1BF971" w14:textId="77777777" w:rsidR="00D3242C" w:rsidRDefault="00D32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030E6" w14:textId="77777777" w:rsidR="00D3242C" w:rsidRDefault="00D3242C" w:rsidP="00D3242C">
      <w:r>
        <w:separator/>
      </w:r>
    </w:p>
  </w:footnote>
  <w:footnote w:type="continuationSeparator" w:id="0">
    <w:p w14:paraId="112FB841" w14:textId="77777777" w:rsidR="00D3242C" w:rsidRDefault="00D3242C" w:rsidP="00D32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04195" w14:textId="5E2B3FCD" w:rsidR="00D3242C" w:rsidRDefault="00D3242C" w:rsidP="00D3242C">
    <w:pPr>
      <w:pStyle w:val="Header"/>
      <w:jc w:val="center"/>
    </w:pPr>
    <w:r>
      <w:t>SAMPLE APPEAL LETTER – VEDOLIZUMAB PRIOR AUTHORIZATION</w:t>
    </w:r>
  </w:p>
  <w:p w14:paraId="0E4446D1" w14:textId="77777777" w:rsidR="00D3242C" w:rsidRDefault="00D32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77499"/>
    <w:multiLevelType w:val="hybridMultilevel"/>
    <w:tmpl w:val="DAAEF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0tTQ3szSxsDA3NjFV0lEKTi0uzszPAykwrAUAPXM/GywAAAA="/>
  </w:docVars>
  <w:rsids>
    <w:rsidRoot w:val="008D4AF7"/>
    <w:rsid w:val="00065298"/>
    <w:rsid w:val="000B61E7"/>
    <w:rsid w:val="00181345"/>
    <w:rsid w:val="00182701"/>
    <w:rsid w:val="0026566E"/>
    <w:rsid w:val="00413CC0"/>
    <w:rsid w:val="00421579"/>
    <w:rsid w:val="004C07D9"/>
    <w:rsid w:val="006C7DE8"/>
    <w:rsid w:val="007906A3"/>
    <w:rsid w:val="007943B2"/>
    <w:rsid w:val="007A3537"/>
    <w:rsid w:val="00890669"/>
    <w:rsid w:val="008D4AF7"/>
    <w:rsid w:val="009023B7"/>
    <w:rsid w:val="0093580C"/>
    <w:rsid w:val="00B15176"/>
    <w:rsid w:val="00C26307"/>
    <w:rsid w:val="00C47D08"/>
    <w:rsid w:val="00C81D13"/>
    <w:rsid w:val="00CA2203"/>
    <w:rsid w:val="00D3242C"/>
    <w:rsid w:val="00DB30C0"/>
    <w:rsid w:val="00E07D96"/>
    <w:rsid w:val="00E125F1"/>
    <w:rsid w:val="00E86ECB"/>
    <w:rsid w:val="00F63B37"/>
    <w:rsid w:val="00F718F8"/>
    <w:rsid w:val="00F847C6"/>
    <w:rsid w:val="00FD4CB2"/>
    <w:rsid w:val="00FF44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36B050"/>
  <w15:docId w15:val="{3FC910C3-3385-4F79-9B4F-B6D8BDDC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701"/>
  </w:style>
  <w:style w:type="paragraph" w:styleId="Heading1">
    <w:name w:val="heading 1"/>
    <w:basedOn w:val="Normal"/>
    <w:next w:val="Normal"/>
    <w:link w:val="Heading1Char"/>
    <w:qFormat/>
    <w:rsid w:val="007943B2"/>
    <w:pPr>
      <w:keepNext/>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669"/>
    <w:pPr>
      <w:ind w:left="720"/>
      <w:contextualSpacing/>
    </w:pPr>
  </w:style>
  <w:style w:type="paragraph" w:styleId="BalloonText">
    <w:name w:val="Balloon Text"/>
    <w:basedOn w:val="Normal"/>
    <w:link w:val="BalloonTextChar"/>
    <w:uiPriority w:val="99"/>
    <w:semiHidden/>
    <w:unhideWhenUsed/>
    <w:rsid w:val="00065298"/>
    <w:rPr>
      <w:rFonts w:ascii="Lucida Grande" w:hAnsi="Lucida Grande"/>
      <w:sz w:val="18"/>
      <w:szCs w:val="18"/>
    </w:rPr>
  </w:style>
  <w:style w:type="character" w:customStyle="1" w:styleId="BalloonTextChar">
    <w:name w:val="Balloon Text Char"/>
    <w:basedOn w:val="DefaultParagraphFont"/>
    <w:link w:val="BalloonText"/>
    <w:uiPriority w:val="99"/>
    <w:semiHidden/>
    <w:rsid w:val="00065298"/>
    <w:rPr>
      <w:rFonts w:ascii="Lucida Grande" w:hAnsi="Lucida Grande"/>
      <w:sz w:val="18"/>
      <w:szCs w:val="18"/>
    </w:rPr>
  </w:style>
  <w:style w:type="character" w:styleId="CommentReference">
    <w:name w:val="annotation reference"/>
    <w:basedOn w:val="DefaultParagraphFont"/>
    <w:uiPriority w:val="99"/>
    <w:semiHidden/>
    <w:unhideWhenUsed/>
    <w:rsid w:val="00065298"/>
    <w:rPr>
      <w:sz w:val="18"/>
      <w:szCs w:val="18"/>
    </w:rPr>
  </w:style>
  <w:style w:type="paragraph" w:styleId="CommentText">
    <w:name w:val="annotation text"/>
    <w:basedOn w:val="Normal"/>
    <w:link w:val="CommentTextChar"/>
    <w:uiPriority w:val="99"/>
    <w:semiHidden/>
    <w:unhideWhenUsed/>
    <w:rsid w:val="00065298"/>
    <w:rPr>
      <w:sz w:val="24"/>
      <w:szCs w:val="24"/>
    </w:rPr>
  </w:style>
  <w:style w:type="character" w:customStyle="1" w:styleId="CommentTextChar">
    <w:name w:val="Comment Text Char"/>
    <w:basedOn w:val="DefaultParagraphFont"/>
    <w:link w:val="CommentText"/>
    <w:uiPriority w:val="99"/>
    <w:semiHidden/>
    <w:rsid w:val="00065298"/>
    <w:rPr>
      <w:sz w:val="24"/>
      <w:szCs w:val="24"/>
    </w:rPr>
  </w:style>
  <w:style w:type="paragraph" w:styleId="CommentSubject">
    <w:name w:val="annotation subject"/>
    <w:basedOn w:val="CommentText"/>
    <w:next w:val="CommentText"/>
    <w:link w:val="CommentSubjectChar"/>
    <w:uiPriority w:val="99"/>
    <w:semiHidden/>
    <w:unhideWhenUsed/>
    <w:rsid w:val="00065298"/>
    <w:rPr>
      <w:b/>
      <w:bCs/>
      <w:sz w:val="20"/>
      <w:szCs w:val="20"/>
    </w:rPr>
  </w:style>
  <w:style w:type="character" w:customStyle="1" w:styleId="CommentSubjectChar">
    <w:name w:val="Comment Subject Char"/>
    <w:basedOn w:val="CommentTextChar"/>
    <w:link w:val="CommentSubject"/>
    <w:uiPriority w:val="99"/>
    <w:semiHidden/>
    <w:rsid w:val="00065298"/>
    <w:rPr>
      <w:b/>
      <w:bCs/>
      <w:sz w:val="20"/>
      <w:szCs w:val="20"/>
    </w:rPr>
  </w:style>
  <w:style w:type="character" w:customStyle="1" w:styleId="Heading1Char">
    <w:name w:val="Heading 1 Char"/>
    <w:basedOn w:val="DefaultParagraphFont"/>
    <w:link w:val="Heading1"/>
    <w:rsid w:val="007943B2"/>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D3242C"/>
    <w:pPr>
      <w:tabs>
        <w:tab w:val="center" w:pos="4680"/>
        <w:tab w:val="right" w:pos="9360"/>
      </w:tabs>
    </w:pPr>
  </w:style>
  <w:style w:type="character" w:customStyle="1" w:styleId="HeaderChar">
    <w:name w:val="Header Char"/>
    <w:basedOn w:val="DefaultParagraphFont"/>
    <w:link w:val="Header"/>
    <w:uiPriority w:val="99"/>
    <w:rsid w:val="00D3242C"/>
  </w:style>
  <w:style w:type="paragraph" w:styleId="Footer">
    <w:name w:val="footer"/>
    <w:basedOn w:val="Normal"/>
    <w:link w:val="FooterChar"/>
    <w:uiPriority w:val="99"/>
    <w:unhideWhenUsed/>
    <w:rsid w:val="00D3242C"/>
    <w:pPr>
      <w:tabs>
        <w:tab w:val="center" w:pos="4680"/>
        <w:tab w:val="right" w:pos="9360"/>
      </w:tabs>
    </w:pPr>
  </w:style>
  <w:style w:type="character" w:customStyle="1" w:styleId="FooterChar">
    <w:name w:val="Footer Char"/>
    <w:basedOn w:val="DefaultParagraphFont"/>
    <w:link w:val="Footer"/>
    <w:uiPriority w:val="99"/>
    <w:rsid w:val="00D32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86D744C5CD6E44BFFEF5E812642879" ma:contentTypeVersion="10" ma:contentTypeDescription="Create a new document." ma:contentTypeScope="" ma:versionID="fac1853bb17d300e45a432afcf5fa500">
  <xsd:schema xmlns:xsd="http://www.w3.org/2001/XMLSchema" xmlns:xs="http://www.w3.org/2001/XMLSchema" xmlns:p="http://schemas.microsoft.com/office/2006/metadata/properties" xmlns:ns2="e3daf48a-308e-43de-88ef-ca4f40f3f003" xmlns:ns3="c57fea2e-d146-428a-a2a2-061547110c3f" targetNamespace="http://schemas.microsoft.com/office/2006/metadata/properties" ma:root="true" ma:fieldsID="5d2fd96250cf0bb129c1fdb5d9743371" ns2:_="" ns3:_="">
    <xsd:import namespace="e3daf48a-308e-43de-88ef-ca4f40f3f003"/>
    <xsd:import namespace="c57fea2e-d146-428a-a2a2-061547110c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af48a-308e-43de-88ef-ca4f40f3f00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7fea2e-d146-428a-a2a2-061547110c3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423B2E-CC61-4E65-BA85-4D8D65369C07}">
  <ds:schemaRefs>
    <ds:schemaRef ds:uri="http://schemas.microsoft.com/sharepoint/v3/contenttype/forms"/>
  </ds:schemaRefs>
</ds:datastoreItem>
</file>

<file path=customXml/itemProps2.xml><?xml version="1.0" encoding="utf-8"?>
<ds:datastoreItem xmlns:ds="http://schemas.openxmlformats.org/officeDocument/2006/customXml" ds:itemID="{16A527B5-3EFB-4EEA-9353-AFD2A2E43F6D}">
  <ds:schemaRefs>
    <ds:schemaRef ds:uri="e3daf48a-308e-43de-88ef-ca4f40f3f00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57fea2e-d146-428a-a2a2-061547110c3f"/>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4666726-D117-424A-B221-4E671A825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af48a-308e-43de-88ef-ca4f40f3f003"/>
    <ds:schemaRef ds:uri="c57fea2e-d146-428a-a2a2-061547110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Buchanan</dc:creator>
  <cp:lastModifiedBy>Alyssa Strauss</cp:lastModifiedBy>
  <cp:revision>2</cp:revision>
  <dcterms:created xsi:type="dcterms:W3CDTF">2018-10-04T15:45:00Z</dcterms:created>
  <dcterms:modified xsi:type="dcterms:W3CDTF">2018-10-04T15:45:00Z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0x010100C786D744C5CD6E44BFFEF5E812642879</vt:lpwstr>
  </property>
</Properties>
</file>